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Pr="00C17E15" w:rsidRDefault="00F86FEA" w:rsidP="00C17E15">
      <w:pPr>
        <w:pStyle w:val="Title"/>
        <w:jc w:val="center"/>
        <w:divId w:val="334965797"/>
        <w:rPr>
          <w:b/>
          <w:bCs/>
          <w:sz w:val="24"/>
          <w:szCs w:val="24"/>
        </w:rPr>
      </w:pPr>
    </w:p>
    <w:p w:rsidR="00000000" w:rsidRPr="00F86FEA" w:rsidRDefault="00F86FEA" w:rsidP="00C17E15">
      <w:pPr>
        <w:pStyle w:val="Title"/>
        <w:bidi/>
        <w:jc w:val="center"/>
        <w:rPr>
          <w:rStyle w:val="Strong"/>
          <w:rFonts w:hint="cs"/>
          <w:sz w:val="32"/>
          <w:szCs w:val="32"/>
          <w:rtl/>
        </w:rPr>
      </w:pPr>
      <w:bookmarkStart w:id="0" w:name="_GoBack"/>
      <w:r w:rsidRPr="00F86FEA">
        <w:rPr>
          <w:rStyle w:val="Strong"/>
          <w:rFonts w:hint="cs"/>
          <w:sz w:val="32"/>
          <w:szCs w:val="32"/>
          <w:rtl/>
        </w:rPr>
        <w:t>ביטול הכרזה בדבר קיום מונופולין</w:t>
      </w:r>
    </w:p>
    <w:bookmarkEnd w:id="0"/>
    <w:p w:rsidR="00000000" w:rsidRPr="00C17E15" w:rsidRDefault="00F86FEA" w:rsidP="00C17E15">
      <w:pPr>
        <w:pStyle w:val="Title"/>
        <w:bidi/>
        <w:jc w:val="center"/>
        <w:rPr>
          <w:rStyle w:val="Strong"/>
          <w:rFonts w:hint="cs"/>
          <w:sz w:val="24"/>
          <w:szCs w:val="24"/>
          <w:rtl/>
        </w:rPr>
      </w:pPr>
      <w:r w:rsidRPr="00C17E15">
        <w:rPr>
          <w:rStyle w:val="Strong"/>
          <w:rFonts w:hint="cs"/>
          <w:sz w:val="24"/>
          <w:szCs w:val="24"/>
          <w:rtl/>
        </w:rPr>
        <w:t xml:space="preserve">לפי חוק ההגבלים העסקיים, </w:t>
      </w:r>
      <w:proofErr w:type="spellStart"/>
      <w:r w:rsidRPr="00C17E15">
        <w:rPr>
          <w:rStyle w:val="Strong"/>
          <w:rFonts w:hint="cs"/>
          <w:sz w:val="24"/>
          <w:szCs w:val="24"/>
          <w:rtl/>
        </w:rPr>
        <w:t>התשמ"ח</w:t>
      </w:r>
      <w:proofErr w:type="spellEnd"/>
      <w:r w:rsidRPr="00C17E15">
        <w:rPr>
          <w:rStyle w:val="Strong"/>
          <w:rFonts w:hint="cs"/>
          <w:sz w:val="24"/>
          <w:szCs w:val="24"/>
          <w:rtl/>
        </w:rPr>
        <w:t xml:space="preserve"> - 1988</w:t>
      </w:r>
    </w:p>
    <w:p w:rsidR="00000000" w:rsidRDefault="00F86FEA" w:rsidP="00CF5DA5">
      <w:pPr>
        <w:pStyle w:val="Title"/>
        <w:bidi/>
        <w:jc w:val="center"/>
        <w:rPr>
          <w:rFonts w:hint="cs"/>
          <w:szCs w:val="28"/>
          <w:rtl/>
        </w:rPr>
      </w:pPr>
    </w:p>
    <w:p w:rsidR="00000000" w:rsidRDefault="00F86FEA">
      <w:pPr>
        <w:bidi/>
        <w:spacing w:before="120"/>
        <w:rPr>
          <w:rFonts w:cs="David" w:hint="cs"/>
          <w:sz w:val="22"/>
          <w:rtl/>
        </w:rPr>
      </w:pPr>
      <w:r>
        <w:rPr>
          <w:rFonts w:cs="David" w:hint="cs"/>
          <w:sz w:val="22"/>
          <w:rtl/>
        </w:rPr>
        <w:t xml:space="preserve">בתוקף סמכותי לפי סעיף 26(א) לחוק ההגבלים העסקיים, </w:t>
      </w:r>
      <w:proofErr w:type="spellStart"/>
      <w:r>
        <w:rPr>
          <w:rFonts w:cs="David" w:hint="cs"/>
          <w:sz w:val="22"/>
          <w:rtl/>
        </w:rPr>
        <w:t>התשמ"ח</w:t>
      </w:r>
      <w:proofErr w:type="spellEnd"/>
      <w:r>
        <w:rPr>
          <w:rFonts w:cs="David" w:hint="cs"/>
          <w:sz w:val="22"/>
          <w:rtl/>
        </w:rPr>
        <w:t xml:space="preserve"> – 1988,</w:t>
      </w:r>
      <w:r>
        <w:rPr>
          <w:rStyle w:val="FootnoteReference"/>
          <w:rFonts w:cs="David"/>
          <w:sz w:val="22"/>
          <w:szCs w:val="20"/>
          <w:rtl/>
        </w:rPr>
        <w:footnoteReference w:id="1"/>
      </w:r>
      <w:r>
        <w:rPr>
          <w:rStyle w:val="FootnoteReference"/>
          <w:rFonts w:eastAsia="Times New Roman" w:cs="David"/>
          <w:sz w:val="22"/>
          <w:szCs w:val="20"/>
          <w:lang w:eastAsia="he-IL"/>
        </w:rPr>
        <w:t>[1]</w:t>
      </w:r>
      <w:r>
        <w:rPr>
          <w:rFonts w:cs="David" w:hint="cs"/>
          <w:sz w:val="22"/>
          <w:rtl/>
        </w:rPr>
        <w:t xml:space="preserve"> אני מבטלת בזאת את ההכרזה הקיימת של "</w:t>
      </w:r>
      <w:r>
        <w:rPr>
          <w:rStyle w:val="Strong"/>
          <w:rFonts w:cs="David" w:hint="cs"/>
          <w:sz w:val="22"/>
          <w:rtl/>
        </w:rPr>
        <w:t>ידיעות אחרונות בע"מ</w:t>
      </w:r>
      <w:r>
        <w:rPr>
          <w:rFonts w:cs="David" w:hint="cs"/>
          <w:sz w:val="22"/>
          <w:rtl/>
        </w:rPr>
        <w:t>"</w:t>
      </w:r>
      <w:r>
        <w:rPr>
          <w:rStyle w:val="FootnoteReference"/>
          <w:rFonts w:cs="David"/>
          <w:sz w:val="22"/>
          <w:szCs w:val="20"/>
          <w:rtl/>
        </w:rPr>
        <w:footnoteReference w:id="2"/>
      </w:r>
      <w:r>
        <w:rPr>
          <w:rStyle w:val="FootnoteReference"/>
          <w:rFonts w:eastAsia="Times New Roman" w:cs="David"/>
          <w:sz w:val="22"/>
          <w:szCs w:val="20"/>
          <w:lang w:eastAsia="he-IL"/>
        </w:rPr>
        <w:t>[2]</w:t>
      </w:r>
      <w:r>
        <w:rPr>
          <w:rFonts w:cs="David" w:hint="cs"/>
          <w:sz w:val="22"/>
          <w:rtl/>
        </w:rPr>
        <w:t xml:space="preserve"> כבעלת מונופולין בתחום עיתונות יומית בשפה העברית בתחומי מדינת ישראל, וזאת לאחר שבדיקה שנערכה ברשות ההגבלים העסקיים העלתה כי נתח השוק של ידיעות אחרונות בשוק האמור קטן ממחצית, ומכאן שלא מתקיים בה עוד האמור בסעיף 26(א) לחוק.</w:t>
      </w:r>
    </w:p>
    <w:p w:rsidR="00000000" w:rsidRDefault="00F86FEA">
      <w:pPr>
        <w:tabs>
          <w:tab w:val="left" w:pos="4982"/>
        </w:tabs>
        <w:bidi/>
        <w:spacing w:before="120"/>
        <w:rPr>
          <w:rFonts w:cs="David" w:hint="cs"/>
          <w:sz w:val="22"/>
          <w:rtl/>
        </w:rPr>
      </w:pPr>
    </w:p>
    <w:p w:rsidR="00000000" w:rsidRDefault="00F86FEA">
      <w:pPr>
        <w:tabs>
          <w:tab w:val="left" w:pos="4982"/>
        </w:tabs>
        <w:bidi/>
        <w:spacing w:before="120"/>
        <w:rPr>
          <w:rFonts w:cs="David" w:hint="cs"/>
          <w:sz w:val="22"/>
          <w:rtl/>
        </w:rPr>
      </w:pPr>
      <w:r>
        <w:rPr>
          <w:rFonts w:cs="David" w:hint="cs"/>
          <w:sz w:val="22"/>
          <w:rtl/>
        </w:rPr>
        <w:t>תוקף ביטו</w:t>
      </w:r>
      <w:r>
        <w:rPr>
          <w:rFonts w:cs="David" w:hint="cs"/>
          <w:sz w:val="22"/>
          <w:rtl/>
        </w:rPr>
        <w:t>ל ההכרזה – ממועד החלטתי זו.</w:t>
      </w:r>
    </w:p>
    <w:p w:rsidR="00000000" w:rsidRDefault="00F86FEA">
      <w:pPr>
        <w:tabs>
          <w:tab w:val="left" w:pos="4982"/>
        </w:tabs>
        <w:bidi/>
        <w:spacing w:before="120"/>
        <w:rPr>
          <w:rFonts w:cs="David" w:hint="cs"/>
          <w:sz w:val="22"/>
          <w:rtl/>
        </w:rPr>
      </w:pPr>
    </w:p>
    <w:p w:rsidR="00000000" w:rsidRDefault="00F86FEA">
      <w:pPr>
        <w:tabs>
          <w:tab w:val="left" w:pos="4982"/>
        </w:tabs>
        <w:bidi/>
        <w:spacing w:before="120"/>
        <w:rPr>
          <w:rFonts w:cs="David" w:hint="cs"/>
          <w:sz w:val="22"/>
          <w:rtl/>
        </w:rPr>
      </w:pPr>
      <w:r>
        <w:rPr>
          <w:rFonts w:cs="David" w:hint="cs"/>
          <w:sz w:val="22"/>
          <w:rtl/>
        </w:rPr>
        <w:t xml:space="preserve">החלטת ביטול ההכרזה פתוחה לעיון הציבור בתיק מונופולין 7391 במשרד רשות ההגבלים העסקיים, רחוב כנפי נשרים 22, ירושלים ובאתר האינטרנט של רשות ההגבלים העסקיים שכתובתו: </w:t>
      </w:r>
      <w:hyperlink r:id="rId6" w:history="1">
        <w:r>
          <w:rPr>
            <w:rStyle w:val="Hyperlink"/>
            <w:rFonts w:hint="cs"/>
            <w:color w:val="800080"/>
          </w:rPr>
          <w:t>www.antitrust.gov.il</w:t>
        </w:r>
      </w:hyperlink>
      <w:r>
        <w:rPr>
          <w:rFonts w:cs="David" w:hint="cs"/>
          <w:sz w:val="22"/>
          <w:rtl/>
        </w:rPr>
        <w:t>.</w:t>
      </w:r>
    </w:p>
    <w:p w:rsidR="00000000" w:rsidRDefault="00F86FEA">
      <w:pPr>
        <w:tabs>
          <w:tab w:val="center" w:pos="6894"/>
        </w:tabs>
        <w:bidi/>
        <w:spacing w:before="120"/>
        <w:rPr>
          <w:rFonts w:cs="David" w:hint="cs"/>
          <w:sz w:val="22"/>
          <w:szCs w:val="28"/>
          <w:rtl/>
        </w:rPr>
      </w:pPr>
    </w:p>
    <w:p w:rsidR="00000000" w:rsidRDefault="00F86FEA">
      <w:pPr>
        <w:tabs>
          <w:tab w:val="center" w:pos="6894"/>
        </w:tabs>
        <w:bidi/>
        <w:spacing w:before="120"/>
        <w:rPr>
          <w:rFonts w:cs="David" w:hint="cs"/>
          <w:sz w:val="22"/>
          <w:szCs w:val="28"/>
          <w:rtl/>
        </w:rPr>
      </w:pPr>
    </w:p>
    <w:p w:rsidR="00000000" w:rsidRDefault="00F86FEA">
      <w:pPr>
        <w:pStyle w:val="Heading2"/>
        <w:bidi/>
        <w:spacing w:before="0" w:beforeAutospacing="0" w:after="0" w:afterAutospacing="0"/>
        <w:ind w:left="2880"/>
        <w:jc w:val="center"/>
        <w:rPr>
          <w:rFonts w:eastAsia="Times New Roman" w:cs="David" w:hint="cs"/>
          <w:b w:val="0"/>
          <w:bCs w:val="0"/>
          <w:sz w:val="20"/>
          <w:szCs w:val="24"/>
          <w:u w:val="single"/>
          <w:rtl/>
        </w:rPr>
      </w:pPr>
      <w:r>
        <w:rPr>
          <w:rFonts w:eastAsia="Times New Roman" w:cs="David" w:hint="cs"/>
          <w:sz w:val="20"/>
          <w:szCs w:val="24"/>
          <w:u w:val="single"/>
          <w:rtl/>
        </w:rPr>
        <w:t>____________________</w:t>
      </w:r>
    </w:p>
    <w:p w:rsidR="00000000" w:rsidRDefault="00F86FEA">
      <w:pPr>
        <w:tabs>
          <w:tab w:val="center" w:pos="6962"/>
        </w:tabs>
        <w:bidi/>
        <w:spacing w:before="120"/>
        <w:ind w:left="2880"/>
        <w:jc w:val="center"/>
        <w:rPr>
          <w:rFonts w:cs="David" w:hint="cs"/>
          <w:sz w:val="20"/>
          <w:rtl/>
        </w:rPr>
      </w:pPr>
      <w:r>
        <w:rPr>
          <w:rFonts w:cs="David" w:hint="cs"/>
          <w:sz w:val="20"/>
          <w:rtl/>
        </w:rPr>
        <w:t>רונית ק</w:t>
      </w:r>
      <w:r>
        <w:rPr>
          <w:rFonts w:cs="David" w:hint="cs"/>
          <w:sz w:val="20"/>
          <w:rtl/>
        </w:rPr>
        <w:t>ן</w:t>
      </w:r>
    </w:p>
    <w:p w:rsidR="00000000" w:rsidRDefault="00F86FEA">
      <w:pPr>
        <w:tabs>
          <w:tab w:val="center" w:pos="6962"/>
        </w:tabs>
        <w:bidi/>
        <w:spacing w:before="120"/>
        <w:ind w:left="2880"/>
        <w:jc w:val="center"/>
        <w:rPr>
          <w:rFonts w:cs="David" w:hint="cs"/>
          <w:sz w:val="20"/>
          <w:rtl/>
        </w:rPr>
      </w:pPr>
      <w:r>
        <w:rPr>
          <w:rFonts w:cs="David" w:hint="cs"/>
          <w:sz w:val="20"/>
          <w:rtl/>
        </w:rPr>
        <w:t>הממונה על הגבלים עסקיים</w:t>
      </w:r>
    </w:p>
    <w:p w:rsidR="00000000" w:rsidRDefault="00F86FEA">
      <w:pPr>
        <w:bidi/>
        <w:spacing w:before="120"/>
        <w:rPr>
          <w:rFonts w:cs="David" w:hint="cs"/>
          <w:sz w:val="22"/>
          <w:rtl/>
        </w:rPr>
      </w:pPr>
      <w:r>
        <w:rPr>
          <w:rFonts w:cs="David" w:hint="cs"/>
          <w:sz w:val="22"/>
          <w:rtl/>
        </w:rPr>
        <w:t>ירושלים, י"ז בטבת תש"ע</w:t>
      </w:r>
    </w:p>
    <w:p w:rsidR="00000000" w:rsidRDefault="00F86FEA">
      <w:pPr>
        <w:bidi/>
        <w:spacing w:before="120"/>
        <w:rPr>
          <w:rFonts w:cs="David" w:hint="cs"/>
          <w:sz w:val="22"/>
          <w:rtl/>
        </w:rPr>
      </w:pPr>
      <w:r>
        <w:rPr>
          <w:rFonts w:cs="David" w:hint="cs"/>
          <w:sz w:val="22"/>
          <w:rtl/>
        </w:rPr>
        <w:t>3 בינואר, 2010</w:t>
      </w:r>
    </w:p>
    <w:p w:rsidR="00000000" w:rsidRDefault="00F86FEA">
      <w:pPr>
        <w:bidi/>
        <w:spacing w:before="120"/>
        <w:rPr>
          <w:rFonts w:cs="David" w:hint="cs"/>
          <w:sz w:val="22"/>
          <w:rtl/>
        </w:rPr>
      </w:pPr>
      <w:r>
        <w:rPr>
          <w:rFonts w:cs="David" w:hint="cs"/>
          <w:sz w:val="22"/>
          <w:rtl/>
        </w:rPr>
        <w:t xml:space="preserve">              </w:t>
      </w:r>
    </w:p>
    <w:p w:rsidR="00000000" w:rsidRDefault="00F86FEA">
      <w:pPr>
        <w:bidi/>
        <w:spacing w:before="120"/>
        <w:rPr>
          <w:rFonts w:cs="David" w:hint="cs"/>
          <w:szCs w:val="22"/>
          <w:rtl/>
        </w:rPr>
      </w:pPr>
    </w:p>
    <w:p w:rsidR="00000000" w:rsidRDefault="00F86FEA">
      <w:pPr>
        <w:bidi/>
        <w:divId w:val="603074499"/>
        <w:rPr>
          <w:rFonts w:eastAsia="Times New Roman" w:hint="cs"/>
          <w:rtl/>
        </w:rPr>
      </w:pPr>
      <w:r>
        <w:rPr>
          <w:rFonts w:eastAsia="Times New Roman" w:hint="cs"/>
          <w:rtl/>
        </w:rPr>
        <w:br w:type="textWrapping" w:clear="all"/>
      </w:r>
    </w:p>
    <w:p w:rsidR="00000000" w:rsidRDefault="00F86FEA">
      <w:pPr>
        <w:bidi/>
        <w:divId w:val="603074499"/>
        <w:rPr>
          <w:rFonts w:eastAsia="Times New Roman" w:hint="cs"/>
          <w:rtl/>
        </w:rPr>
      </w:pPr>
      <w:r>
        <w:rPr>
          <w:rFonts w:eastAsia="Times New Roman" w:hint="cs"/>
        </w:rPr>
        <w:pict>
          <v:rect id="_x0000_i1025" style="width:141.1pt;height:.75pt" o:hrpct="330" o:hralign="right" o:hrstd="t" o:hr="t" fillcolor="#a0a0a0" stroked="f"/>
        </w:pict>
      </w:r>
    </w:p>
    <w:p w:rsidR="00000000" w:rsidRDefault="00F86FEA">
      <w:pPr>
        <w:pStyle w:val="Footer"/>
        <w:divId w:val="1489328105"/>
        <w:rPr>
          <w:rFonts w:hint="cs"/>
          <w:szCs w:val="14"/>
          <w:rtl/>
        </w:rPr>
      </w:pPr>
    </w:p>
    <w:p w:rsidR="00000000" w:rsidRDefault="00F86FEA">
      <w:pPr>
        <w:divId w:val="1489328105"/>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86FEA">
      <w:r>
        <w:separator/>
      </w:r>
    </w:p>
  </w:endnote>
  <w:endnote w:type="continuationSeparator" w:id="0">
    <w:p w:rsidR="00000000" w:rsidRDefault="00F8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86FEA">
      <w:r>
        <w:separator/>
      </w:r>
    </w:p>
  </w:footnote>
  <w:footnote w:type="continuationSeparator" w:id="0">
    <w:p w:rsidR="00000000" w:rsidRDefault="00F86FEA">
      <w:r>
        <w:continuationSeparator/>
      </w:r>
    </w:p>
  </w:footnote>
  <w:footnote w:id="1">
    <w:p w:rsidR="00000000" w:rsidRDefault="00F86FEA">
      <w:pPr>
        <w:pStyle w:val="FootnoteText"/>
        <w:bidi/>
        <w:spacing w:before="0" w:beforeAutospacing="0" w:after="120" w:afterAutospacing="0"/>
        <w:rPr>
          <w:rFonts w:cs="David" w:hint="cs"/>
          <w:sz w:val="20"/>
          <w:szCs w:val="20"/>
          <w:rtl/>
        </w:rPr>
      </w:pPr>
      <w:r>
        <w:rPr>
          <w:rStyle w:val="FootnoteReference"/>
          <w:rFonts w:cs="David"/>
          <w:rtl/>
        </w:rPr>
        <w:footnoteRef/>
      </w:r>
      <w:r>
        <w:rPr>
          <w:rStyle w:val="FootnoteReference"/>
          <w:rFonts w:eastAsia="Times New Roman" w:cs="David"/>
          <w:sz w:val="20"/>
          <w:szCs w:val="20"/>
          <w:lang w:eastAsia="he-IL"/>
        </w:rPr>
        <w:t>[1]</w:t>
      </w:r>
      <w:r>
        <w:rPr>
          <w:rFonts w:cs="David" w:hint="cs"/>
          <w:sz w:val="20"/>
          <w:szCs w:val="20"/>
          <w:rtl/>
        </w:rPr>
        <w:t xml:space="preserve"> ס"ח </w:t>
      </w:r>
      <w:proofErr w:type="spellStart"/>
      <w:r>
        <w:rPr>
          <w:rFonts w:cs="David" w:hint="cs"/>
          <w:sz w:val="20"/>
          <w:szCs w:val="20"/>
          <w:rtl/>
        </w:rPr>
        <w:t>התשמ"ח</w:t>
      </w:r>
      <w:proofErr w:type="spellEnd"/>
      <w:r>
        <w:rPr>
          <w:rFonts w:cs="David" w:hint="cs"/>
          <w:sz w:val="20"/>
          <w:szCs w:val="20"/>
          <w:rtl/>
        </w:rPr>
        <w:t>, עמ' 128.</w:t>
      </w:r>
    </w:p>
  </w:footnote>
  <w:footnote w:id="2">
    <w:p w:rsidR="00000000" w:rsidRDefault="00F86FEA">
      <w:pPr>
        <w:bidi/>
        <w:spacing w:before="120"/>
        <w:rPr>
          <w:rFonts w:cs="David" w:hint="cs"/>
          <w:sz w:val="20"/>
          <w:szCs w:val="20"/>
          <w:rtl/>
        </w:rPr>
      </w:pPr>
      <w:r>
        <w:rPr>
          <w:rStyle w:val="FootnoteReference"/>
          <w:sz w:val="20"/>
          <w:szCs w:val="20"/>
        </w:rPr>
        <w:footnoteRef/>
      </w:r>
      <w:r>
        <w:rPr>
          <w:rStyle w:val="FootnoteReference"/>
          <w:rFonts w:eastAsia="Times New Roman" w:cs="David"/>
          <w:sz w:val="20"/>
          <w:szCs w:val="20"/>
          <w:lang w:eastAsia="he-IL"/>
        </w:rPr>
        <w:t>[2]</w:t>
      </w:r>
      <w:r>
        <w:rPr>
          <w:rFonts w:hint="cs"/>
          <w:sz w:val="20"/>
          <w:szCs w:val="20"/>
        </w:rPr>
        <w:t xml:space="preserve"> </w:t>
      </w:r>
      <w:r>
        <w:rPr>
          <w:rFonts w:cs="David" w:hint="cs"/>
          <w:sz w:val="20"/>
          <w:szCs w:val="20"/>
          <w:rtl/>
        </w:rPr>
        <w:t xml:space="preserve"> </w:t>
      </w:r>
      <w:r>
        <w:rPr>
          <w:rFonts w:cs="David" w:hint="cs"/>
          <w:sz w:val="20"/>
          <w:szCs w:val="20"/>
          <w:rtl/>
        </w:rPr>
        <w:t>חידוש הכרזה מיום 19.5.1999, פורסם ב-י.פ. 4755 עמ' 3306.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CF5DA5"/>
    <w:rsid w:val="00C17E15"/>
    <w:rsid w:val="00CF5DA5"/>
    <w:rsid w:val="00F86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6E70974-025A-46F0-A706-EEEA4D623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character" w:styleId="FootnoteReference">
    <w:name w:val="footnote reference"/>
    <w:basedOn w:val="DefaultParagraphFon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 w:type="paragraph" w:styleId="Title">
    <w:name w:val="Title"/>
    <w:basedOn w:val="Normal"/>
    <w:next w:val="Normal"/>
    <w:link w:val="TitleChar"/>
    <w:uiPriority w:val="10"/>
    <w:qFormat/>
    <w:rsid w:val="00CF5DA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5DA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965797">
      <w:marLeft w:val="0"/>
      <w:marRight w:val="0"/>
      <w:marTop w:val="0"/>
      <w:marBottom w:val="0"/>
      <w:divBdr>
        <w:top w:val="none" w:sz="0" w:space="0" w:color="auto"/>
        <w:left w:val="none" w:sz="0" w:space="0" w:color="auto"/>
        <w:bottom w:val="none" w:sz="0" w:space="0" w:color="auto"/>
        <w:right w:val="none" w:sz="0" w:space="0" w:color="auto"/>
      </w:divBdr>
    </w:div>
    <w:div w:id="603074499">
      <w:marLeft w:val="0"/>
      <w:marRight w:val="0"/>
      <w:marTop w:val="0"/>
      <w:marBottom w:val="0"/>
      <w:divBdr>
        <w:top w:val="none" w:sz="0" w:space="0" w:color="auto"/>
        <w:left w:val="none" w:sz="0" w:space="0" w:color="auto"/>
        <w:bottom w:val="none" w:sz="0" w:space="0" w:color="auto"/>
        <w:right w:val="none" w:sz="0" w:space="0" w:color="auto"/>
      </w:divBdr>
    </w:div>
    <w:div w:id="148932810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ntitrust.gov.i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691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4</cp:revision>
  <dcterms:created xsi:type="dcterms:W3CDTF">2019-01-16T09:14:00Z</dcterms:created>
  <dcterms:modified xsi:type="dcterms:W3CDTF">2019-01-16T09:15:00Z</dcterms:modified>
</cp:coreProperties>
</file>